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93" w:rsidRDefault="00D12693" w:rsidP="00D12693">
      <w:pPr>
        <w:spacing w:line="222" w:lineRule="exact"/>
        <w:ind w:right="20"/>
        <w:jc w:val="right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Приложение</w:t>
      </w:r>
      <w:r>
        <w:rPr>
          <w:rFonts w:ascii="Calibri" w:hAnsi="Calibri"/>
          <w:b/>
          <w:i/>
          <w:spacing w:val="-8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№3</w:t>
      </w:r>
    </w:p>
    <w:p w:rsidR="00D12693" w:rsidRDefault="00D12693" w:rsidP="00D12693">
      <w:pPr>
        <w:spacing w:line="194" w:lineRule="exact"/>
        <w:ind w:right="2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sz w:val="16"/>
        </w:rPr>
        <w:t>к</w:t>
      </w:r>
      <w:r>
        <w:rPr>
          <w:rFonts w:ascii="Calibri" w:hAnsi="Calibri"/>
          <w:b/>
          <w:i/>
          <w:spacing w:val="-4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повестке</w:t>
      </w:r>
      <w:r>
        <w:rPr>
          <w:rFonts w:ascii="Calibri" w:hAnsi="Calibri"/>
          <w:b/>
          <w:i/>
          <w:spacing w:val="-2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общего</w:t>
      </w:r>
      <w:r>
        <w:rPr>
          <w:rFonts w:ascii="Calibri" w:hAnsi="Calibri"/>
          <w:b/>
          <w:i/>
          <w:spacing w:val="-6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собрания</w:t>
      </w:r>
      <w:r>
        <w:rPr>
          <w:rFonts w:ascii="Calibri" w:hAnsi="Calibri"/>
          <w:b/>
          <w:i/>
          <w:spacing w:val="-3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собственников</w:t>
      </w:r>
      <w:r>
        <w:rPr>
          <w:rFonts w:ascii="Calibri" w:hAnsi="Calibri"/>
          <w:b/>
          <w:i/>
          <w:spacing w:val="-3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(правообладателей)</w:t>
      </w:r>
    </w:p>
    <w:p w:rsidR="00D12693" w:rsidRDefault="00D12693" w:rsidP="00D12693">
      <w:pPr>
        <w:jc w:val="right"/>
        <w:rPr>
          <w:rFonts w:ascii="Calibri" w:hAnsi="Calibri"/>
          <w:b/>
          <w:i/>
          <w:spacing w:val="-34"/>
          <w:sz w:val="16"/>
        </w:rPr>
      </w:pPr>
      <w:r>
        <w:rPr>
          <w:rFonts w:ascii="Calibri" w:hAnsi="Calibri"/>
          <w:b/>
          <w:i/>
          <w:sz w:val="16"/>
        </w:rPr>
        <w:t>многоквартирного дома по адресу:</w:t>
      </w:r>
      <w:r>
        <w:rPr>
          <w:rFonts w:ascii="Calibri" w:hAnsi="Calibri"/>
          <w:b/>
          <w:i/>
          <w:spacing w:val="-34"/>
          <w:sz w:val="16"/>
        </w:rPr>
        <w:t xml:space="preserve"> </w:t>
      </w:r>
      <w:r>
        <w:rPr>
          <w:rFonts w:ascii="Calibri" w:hAnsi="Calibri"/>
          <w:b/>
          <w:i/>
          <w:spacing w:val="-34"/>
          <w:sz w:val="16"/>
        </w:rPr>
        <w:t xml:space="preserve"> </w:t>
      </w:r>
    </w:p>
    <w:p w:rsidR="008D602D" w:rsidRPr="00D12693" w:rsidRDefault="00D12693" w:rsidP="00D12693">
      <w:pPr>
        <w:jc w:val="right"/>
        <w:rPr>
          <w:rFonts w:asciiTheme="minorHAnsi" w:hAnsiTheme="minorHAnsi" w:cstheme="minorHAnsi"/>
          <w:b/>
          <w:i/>
          <w:sz w:val="16"/>
          <w:szCs w:val="16"/>
        </w:rPr>
      </w:pPr>
      <w:bookmarkStart w:id="0" w:name="_GoBack"/>
      <w:bookmarkEnd w:id="0"/>
      <w:r w:rsidRPr="00EB0790">
        <w:rPr>
          <w:rFonts w:asciiTheme="minorHAnsi" w:hAnsiTheme="minorHAnsi" w:cstheme="minorHAnsi"/>
          <w:b/>
          <w:i/>
          <w:sz w:val="16"/>
          <w:szCs w:val="16"/>
        </w:rPr>
        <w:t xml:space="preserve">г. Санкт-Петербург, муниципальный округ Черная речка, улица </w:t>
      </w:r>
      <w:proofErr w:type="spellStart"/>
      <w:r w:rsidRPr="00EB0790">
        <w:rPr>
          <w:rFonts w:asciiTheme="minorHAnsi" w:hAnsiTheme="minorHAnsi" w:cstheme="minorHAnsi"/>
          <w:b/>
          <w:i/>
          <w:sz w:val="16"/>
          <w:szCs w:val="16"/>
        </w:rPr>
        <w:t>Дибуновская</w:t>
      </w:r>
      <w:proofErr w:type="spellEnd"/>
      <w:r w:rsidRPr="00EB0790">
        <w:rPr>
          <w:rFonts w:asciiTheme="minorHAnsi" w:hAnsiTheme="minorHAnsi" w:cstheme="minorHAnsi"/>
          <w:b/>
          <w:i/>
          <w:sz w:val="16"/>
          <w:szCs w:val="16"/>
        </w:rPr>
        <w:t>, дом 34,</w:t>
      </w:r>
      <w:r>
        <w:rPr>
          <w:rFonts w:ascii="Times New Roman" w:hAnsi="Times New Roman" w:cs="Times New Roman"/>
          <w:b/>
        </w:rPr>
        <w:t xml:space="preserve"> </w:t>
      </w:r>
      <w:r w:rsidRPr="00EB0790">
        <w:rPr>
          <w:rFonts w:asciiTheme="minorHAnsi" w:hAnsiTheme="minorHAnsi" w:cstheme="minorHAnsi"/>
          <w:b/>
          <w:i/>
          <w:sz w:val="16"/>
          <w:szCs w:val="16"/>
        </w:rPr>
        <w:t>строение 1</w:t>
      </w:r>
    </w:p>
    <w:p w:rsidR="00D12693" w:rsidRDefault="00D12693"/>
    <w:p w:rsidR="00D12693" w:rsidRDefault="00D12693"/>
    <w:p w:rsidR="00D12693" w:rsidRPr="006374F8" w:rsidRDefault="00D12693" w:rsidP="00D12693">
      <w:pPr>
        <w:pStyle w:val="1"/>
        <w:spacing w:before="101"/>
        <w:ind w:left="439"/>
        <w:rPr>
          <w:sz w:val="20"/>
          <w:szCs w:val="20"/>
        </w:rPr>
      </w:pPr>
      <w:r w:rsidRPr="006374F8">
        <w:rPr>
          <w:sz w:val="20"/>
          <w:szCs w:val="20"/>
        </w:rPr>
        <w:t>Регламент</w:t>
      </w:r>
      <w:r w:rsidRPr="006374F8">
        <w:rPr>
          <w:spacing w:val="-4"/>
          <w:sz w:val="20"/>
          <w:szCs w:val="20"/>
        </w:rPr>
        <w:t xml:space="preserve"> </w:t>
      </w:r>
      <w:r w:rsidRPr="006374F8">
        <w:rPr>
          <w:sz w:val="20"/>
          <w:szCs w:val="20"/>
        </w:rPr>
        <w:t>Резервного</w:t>
      </w:r>
      <w:r w:rsidRPr="006374F8">
        <w:rPr>
          <w:spacing w:val="-2"/>
          <w:sz w:val="20"/>
          <w:szCs w:val="20"/>
        </w:rPr>
        <w:t xml:space="preserve"> </w:t>
      </w:r>
      <w:r w:rsidRPr="006374F8">
        <w:rPr>
          <w:sz w:val="20"/>
          <w:szCs w:val="20"/>
        </w:rPr>
        <w:t>фонда</w:t>
      </w:r>
      <w:r w:rsidRPr="006374F8">
        <w:rPr>
          <w:spacing w:val="-2"/>
          <w:sz w:val="20"/>
          <w:szCs w:val="20"/>
        </w:rPr>
        <w:t xml:space="preserve"> </w:t>
      </w:r>
      <w:r w:rsidRPr="006374F8">
        <w:rPr>
          <w:sz w:val="20"/>
          <w:szCs w:val="20"/>
        </w:rPr>
        <w:t>объекта –</w:t>
      </w:r>
      <w:r w:rsidRPr="006374F8">
        <w:rPr>
          <w:spacing w:val="-2"/>
          <w:sz w:val="20"/>
          <w:szCs w:val="20"/>
        </w:rPr>
        <w:t xml:space="preserve"> </w:t>
      </w:r>
      <w:r w:rsidRPr="006374F8">
        <w:rPr>
          <w:sz w:val="20"/>
          <w:szCs w:val="20"/>
        </w:rPr>
        <w:t>многоквартирного</w:t>
      </w:r>
      <w:r w:rsidRPr="006374F8">
        <w:rPr>
          <w:spacing w:val="-2"/>
          <w:sz w:val="20"/>
          <w:szCs w:val="20"/>
        </w:rPr>
        <w:t xml:space="preserve"> </w:t>
      </w:r>
      <w:r w:rsidRPr="006374F8">
        <w:rPr>
          <w:sz w:val="20"/>
          <w:szCs w:val="20"/>
        </w:rPr>
        <w:t>дома</w:t>
      </w:r>
      <w:r w:rsidRPr="006374F8">
        <w:rPr>
          <w:spacing w:val="-2"/>
          <w:sz w:val="20"/>
          <w:szCs w:val="20"/>
        </w:rPr>
        <w:t xml:space="preserve"> </w:t>
      </w:r>
      <w:r w:rsidRPr="006374F8">
        <w:rPr>
          <w:sz w:val="20"/>
          <w:szCs w:val="20"/>
        </w:rPr>
        <w:t>по</w:t>
      </w:r>
      <w:r w:rsidRPr="006374F8">
        <w:rPr>
          <w:spacing w:val="-2"/>
          <w:sz w:val="20"/>
          <w:szCs w:val="20"/>
        </w:rPr>
        <w:t xml:space="preserve"> </w:t>
      </w:r>
      <w:r w:rsidRPr="006374F8">
        <w:rPr>
          <w:sz w:val="20"/>
          <w:szCs w:val="20"/>
        </w:rPr>
        <w:t>адресу:</w:t>
      </w:r>
    </w:p>
    <w:p w:rsidR="00D12693" w:rsidRPr="006374F8" w:rsidRDefault="00D12693" w:rsidP="00D12693">
      <w:pPr>
        <w:pStyle w:val="a3"/>
        <w:spacing w:before="8"/>
        <w:ind w:left="0"/>
        <w:jc w:val="center"/>
        <w:rPr>
          <w:b/>
          <w:sz w:val="20"/>
          <w:szCs w:val="20"/>
        </w:rPr>
      </w:pPr>
      <w:r w:rsidRPr="006374F8">
        <w:rPr>
          <w:b/>
          <w:sz w:val="20"/>
          <w:szCs w:val="20"/>
        </w:rPr>
        <w:t>г. Санкт-Петербург, муниципальный округ Черная речка,</w:t>
      </w:r>
    </w:p>
    <w:p w:rsidR="00D12693" w:rsidRPr="006374F8" w:rsidRDefault="00D12693" w:rsidP="00D12693">
      <w:pPr>
        <w:pStyle w:val="a3"/>
        <w:spacing w:before="8"/>
        <w:ind w:left="0"/>
        <w:jc w:val="center"/>
        <w:rPr>
          <w:b/>
          <w:sz w:val="20"/>
          <w:szCs w:val="20"/>
        </w:rPr>
      </w:pPr>
      <w:r w:rsidRPr="006374F8">
        <w:rPr>
          <w:b/>
          <w:sz w:val="20"/>
          <w:szCs w:val="20"/>
        </w:rPr>
        <w:t xml:space="preserve">улица </w:t>
      </w:r>
      <w:proofErr w:type="spellStart"/>
      <w:r w:rsidRPr="006374F8">
        <w:rPr>
          <w:b/>
          <w:sz w:val="20"/>
          <w:szCs w:val="20"/>
        </w:rPr>
        <w:t>Дибуновская</w:t>
      </w:r>
      <w:proofErr w:type="spellEnd"/>
      <w:r w:rsidRPr="006374F8">
        <w:rPr>
          <w:b/>
          <w:sz w:val="20"/>
          <w:szCs w:val="20"/>
        </w:rPr>
        <w:t>, дом 34, строение 1</w:t>
      </w:r>
    </w:p>
    <w:p w:rsidR="00D12693" w:rsidRPr="006374F8" w:rsidRDefault="00D12693" w:rsidP="00D12693">
      <w:pPr>
        <w:pStyle w:val="a3"/>
        <w:spacing w:before="8"/>
        <w:ind w:left="0"/>
        <w:jc w:val="left"/>
        <w:rPr>
          <w:b/>
          <w:sz w:val="20"/>
          <w:szCs w:val="20"/>
        </w:rPr>
      </w:pPr>
    </w:p>
    <w:p w:rsidR="00D12693" w:rsidRPr="006374F8" w:rsidRDefault="00D12693" w:rsidP="00D12693">
      <w:pPr>
        <w:tabs>
          <w:tab w:val="left" w:pos="474"/>
        </w:tabs>
        <w:spacing w:before="6" w:line="297" w:lineRule="auto"/>
        <w:ind w:right="107"/>
        <w:rPr>
          <w:sz w:val="20"/>
          <w:szCs w:val="20"/>
        </w:rPr>
      </w:pPr>
    </w:p>
    <w:p w:rsidR="00D12693" w:rsidRPr="006374F8" w:rsidRDefault="00D12693" w:rsidP="00D12693">
      <w:pPr>
        <w:ind w:firstLine="573"/>
        <w:jc w:val="both"/>
        <w:outlineLvl w:val="0"/>
        <w:rPr>
          <w:sz w:val="20"/>
          <w:szCs w:val="20"/>
        </w:rPr>
      </w:pPr>
      <w:r w:rsidRPr="006374F8">
        <w:rPr>
          <w:sz w:val="20"/>
          <w:szCs w:val="20"/>
        </w:rPr>
        <w:t>1.  УК формирует резервный фонд МКД.</w:t>
      </w:r>
    </w:p>
    <w:p w:rsidR="00D12693" w:rsidRPr="006374F8" w:rsidRDefault="00D12693" w:rsidP="00D12693">
      <w:pPr>
        <w:ind w:firstLine="573"/>
        <w:jc w:val="both"/>
        <w:outlineLvl w:val="0"/>
        <w:rPr>
          <w:sz w:val="20"/>
          <w:szCs w:val="20"/>
        </w:rPr>
      </w:pPr>
      <w:r w:rsidRPr="006374F8">
        <w:rPr>
          <w:sz w:val="20"/>
          <w:szCs w:val="20"/>
        </w:rPr>
        <w:t>2. Резервный фонд МКД не является индивидуальным резервным фондом УК или отдельного Собственника многоквартирного дома и может использоваться исключительно на нужды, связанные с обеспечением надлежащей эксплуатации общего имущества многоквартирного дома и оплатой коммунальных услуг.</w:t>
      </w:r>
    </w:p>
    <w:p w:rsidR="00D12693" w:rsidRPr="006374F8" w:rsidRDefault="00D12693" w:rsidP="00D12693">
      <w:pPr>
        <w:ind w:firstLine="573"/>
        <w:jc w:val="both"/>
        <w:outlineLvl w:val="0"/>
        <w:rPr>
          <w:sz w:val="20"/>
          <w:szCs w:val="20"/>
        </w:rPr>
      </w:pPr>
      <w:r w:rsidRPr="006374F8">
        <w:rPr>
          <w:sz w:val="20"/>
          <w:szCs w:val="20"/>
        </w:rPr>
        <w:t>3. Резервный фонд МКД, формируется за счёт средств:</w:t>
      </w:r>
    </w:p>
    <w:p w:rsidR="00D12693" w:rsidRPr="006374F8" w:rsidRDefault="00D12693" w:rsidP="00D12693">
      <w:pPr>
        <w:ind w:firstLine="573"/>
        <w:jc w:val="both"/>
        <w:outlineLvl w:val="0"/>
        <w:rPr>
          <w:sz w:val="20"/>
          <w:szCs w:val="20"/>
        </w:rPr>
      </w:pPr>
      <w:r w:rsidRPr="006374F8">
        <w:rPr>
          <w:sz w:val="20"/>
          <w:szCs w:val="20"/>
        </w:rPr>
        <w:t xml:space="preserve">- напрямую оплачиваемых Собственником, равно как и иными собственниками (правообладателями) помещений в МКД, </w:t>
      </w:r>
    </w:p>
    <w:p w:rsidR="00D12693" w:rsidRPr="006374F8" w:rsidRDefault="00D12693" w:rsidP="00D12693">
      <w:pPr>
        <w:ind w:firstLine="573"/>
        <w:jc w:val="both"/>
        <w:outlineLvl w:val="0"/>
        <w:rPr>
          <w:sz w:val="20"/>
          <w:szCs w:val="20"/>
        </w:rPr>
      </w:pPr>
      <w:r w:rsidRPr="006374F8">
        <w:rPr>
          <w:sz w:val="20"/>
          <w:szCs w:val="20"/>
        </w:rPr>
        <w:t>- за счёт средств, образовавшихся в результате экономии от оказания коммунальных услуг,</w:t>
      </w:r>
    </w:p>
    <w:p w:rsidR="00D12693" w:rsidRPr="006374F8" w:rsidRDefault="00D12693" w:rsidP="00D12693">
      <w:pPr>
        <w:ind w:firstLine="573"/>
        <w:jc w:val="both"/>
        <w:outlineLvl w:val="0"/>
        <w:rPr>
          <w:sz w:val="20"/>
          <w:szCs w:val="20"/>
        </w:rPr>
      </w:pPr>
      <w:r w:rsidRPr="006374F8">
        <w:rPr>
          <w:sz w:val="20"/>
          <w:szCs w:val="20"/>
        </w:rPr>
        <w:t xml:space="preserve">- за счет средств, получаемых от сдачи в аренду общего имущества </w:t>
      </w:r>
      <w:proofErr w:type="gramStart"/>
      <w:r w:rsidRPr="006374F8">
        <w:rPr>
          <w:sz w:val="20"/>
          <w:szCs w:val="20"/>
        </w:rPr>
        <w:t>МКД .</w:t>
      </w:r>
      <w:proofErr w:type="gramEnd"/>
    </w:p>
    <w:p w:rsidR="00D12693" w:rsidRPr="006374F8" w:rsidRDefault="00D12693" w:rsidP="00D12693">
      <w:pPr>
        <w:ind w:firstLine="573"/>
        <w:jc w:val="both"/>
        <w:outlineLvl w:val="0"/>
        <w:rPr>
          <w:sz w:val="20"/>
          <w:szCs w:val="20"/>
        </w:rPr>
      </w:pPr>
      <w:r w:rsidRPr="006374F8">
        <w:rPr>
          <w:sz w:val="20"/>
          <w:szCs w:val="20"/>
        </w:rPr>
        <w:t>4. УК имеет право без предварительного согласования с собственниками помещений в МКД использовать средства резервного фонда МКД для оплаты коммунальных услуг, проведения неотложных или аварийных работ, капитального ремонта общего имущества МКД, инженерных сетей и коммуникаций (в том числе закупку оборудования и материалов, необходимых для проведения вышеуказанных работ), на цели механизированной уборки снега, вывоза строительного мусора.</w:t>
      </w:r>
    </w:p>
    <w:p w:rsidR="00D12693" w:rsidRPr="006374F8" w:rsidRDefault="00D12693" w:rsidP="00D12693">
      <w:pPr>
        <w:ind w:firstLine="573"/>
        <w:jc w:val="both"/>
        <w:outlineLvl w:val="0"/>
        <w:rPr>
          <w:sz w:val="20"/>
          <w:szCs w:val="20"/>
        </w:rPr>
      </w:pPr>
      <w:r w:rsidRPr="006374F8">
        <w:rPr>
          <w:sz w:val="20"/>
          <w:szCs w:val="20"/>
        </w:rPr>
        <w:t xml:space="preserve">5. УК имеет право также использовать средства резервного фонда для проведения дополнительных работ и организации дополнительных услуг, направленных на повышение уровня комфортности проживания в МКД: </w:t>
      </w:r>
    </w:p>
    <w:p w:rsidR="00D12693" w:rsidRPr="006374F8" w:rsidRDefault="00D12693" w:rsidP="00D12693">
      <w:pPr>
        <w:ind w:firstLine="573"/>
        <w:jc w:val="both"/>
        <w:outlineLvl w:val="0"/>
        <w:rPr>
          <w:sz w:val="20"/>
          <w:szCs w:val="20"/>
        </w:rPr>
      </w:pPr>
      <w:r w:rsidRPr="006374F8">
        <w:rPr>
          <w:sz w:val="20"/>
          <w:szCs w:val="20"/>
        </w:rPr>
        <w:t xml:space="preserve"> - модификация инженерных систем и коммуникаций, направленная на повышение коэффициента полезного действия при их использовании с целью экономии коммунальных ресурсов,</w:t>
      </w:r>
    </w:p>
    <w:p w:rsidR="00D12693" w:rsidRPr="006374F8" w:rsidRDefault="00D12693" w:rsidP="00D12693">
      <w:pPr>
        <w:ind w:firstLine="573"/>
        <w:jc w:val="both"/>
        <w:outlineLvl w:val="0"/>
        <w:rPr>
          <w:sz w:val="20"/>
          <w:szCs w:val="20"/>
        </w:rPr>
      </w:pPr>
      <w:r w:rsidRPr="006374F8">
        <w:rPr>
          <w:sz w:val="20"/>
          <w:szCs w:val="20"/>
        </w:rPr>
        <w:t xml:space="preserve"> - организация (при наличии возможности) дополнительных детских игровых площадок, или замена существующих на более современные,</w:t>
      </w:r>
    </w:p>
    <w:p w:rsidR="00D12693" w:rsidRPr="006374F8" w:rsidRDefault="00D12693" w:rsidP="00D12693">
      <w:pPr>
        <w:ind w:firstLine="573"/>
        <w:jc w:val="both"/>
        <w:outlineLvl w:val="0"/>
        <w:rPr>
          <w:sz w:val="20"/>
          <w:szCs w:val="20"/>
        </w:rPr>
      </w:pPr>
      <w:r w:rsidRPr="006374F8">
        <w:rPr>
          <w:sz w:val="20"/>
          <w:szCs w:val="20"/>
        </w:rPr>
        <w:t xml:space="preserve"> - закупка дополнительной мебели и оборудования для мест общего пользования МКД, и т.п.</w:t>
      </w:r>
    </w:p>
    <w:p w:rsidR="00D12693" w:rsidRPr="006374F8" w:rsidRDefault="00D12693" w:rsidP="00D12693">
      <w:pPr>
        <w:ind w:firstLine="573"/>
        <w:jc w:val="both"/>
        <w:outlineLvl w:val="0"/>
        <w:rPr>
          <w:sz w:val="20"/>
          <w:szCs w:val="20"/>
        </w:rPr>
      </w:pPr>
      <w:r w:rsidRPr="006374F8">
        <w:rPr>
          <w:sz w:val="20"/>
          <w:szCs w:val="20"/>
        </w:rPr>
        <w:t xml:space="preserve">6. Мероприятия, указанные в п. 5 настоящих Правил, УК имеет право проводить в случае, если в резервном фонде Дома накоплено достаточное количество денежных средств для проведения работ или оказания услуг, указанных в п. 5, и на момент принятия решения о возможности использования денежных средств на такие цели нет необходимости проводить работы, указанные в п. 4 настоящего Договора. </w:t>
      </w:r>
    </w:p>
    <w:p w:rsidR="00D12693" w:rsidRPr="006374F8" w:rsidRDefault="00D12693" w:rsidP="00D12693">
      <w:pPr>
        <w:ind w:firstLine="573"/>
        <w:jc w:val="both"/>
        <w:outlineLvl w:val="0"/>
        <w:rPr>
          <w:sz w:val="20"/>
          <w:szCs w:val="20"/>
        </w:rPr>
      </w:pPr>
      <w:r w:rsidRPr="006374F8">
        <w:rPr>
          <w:sz w:val="20"/>
          <w:szCs w:val="20"/>
        </w:rPr>
        <w:t>7.  Проведение работ и оказание услуг, предусмотренных п. 4 настоящего Договора, возможно только по предварительному письменному Уведомлению Собственника, содержащему Предложение УК провести дополнительные работы доведённого до сведения Собственника не позднее чем, за 1 (Один) месяц до принятия решения о проведении дополнительных работ.</w:t>
      </w:r>
    </w:p>
    <w:p w:rsidR="00D12693" w:rsidRPr="006374F8" w:rsidRDefault="00D12693" w:rsidP="00D12693">
      <w:pPr>
        <w:ind w:firstLine="573"/>
        <w:jc w:val="both"/>
        <w:outlineLvl w:val="0"/>
        <w:rPr>
          <w:sz w:val="20"/>
          <w:szCs w:val="20"/>
        </w:rPr>
      </w:pPr>
      <w:r w:rsidRPr="006374F8">
        <w:rPr>
          <w:sz w:val="20"/>
          <w:szCs w:val="20"/>
        </w:rPr>
        <w:t xml:space="preserve">8. В случае если в течение одного месяца с момента Уведомления собственников помещений в </w:t>
      </w:r>
      <w:proofErr w:type="gramStart"/>
      <w:r w:rsidRPr="006374F8">
        <w:rPr>
          <w:sz w:val="20"/>
          <w:szCs w:val="20"/>
        </w:rPr>
        <w:t>МКД  УК</w:t>
      </w:r>
      <w:proofErr w:type="gramEnd"/>
      <w:r w:rsidRPr="006374F8">
        <w:rPr>
          <w:sz w:val="20"/>
          <w:szCs w:val="20"/>
        </w:rPr>
        <w:t xml:space="preserve"> не получило письменный отказ от проведения предложенных УК дополнительных работ или услуг, УК считает Предложение принятым и согласованным со стороны Собственника.</w:t>
      </w:r>
    </w:p>
    <w:p w:rsidR="00D12693" w:rsidRPr="006374F8" w:rsidRDefault="00D12693" w:rsidP="00D12693">
      <w:pPr>
        <w:ind w:firstLine="573"/>
        <w:jc w:val="both"/>
        <w:outlineLvl w:val="0"/>
        <w:rPr>
          <w:sz w:val="20"/>
          <w:szCs w:val="20"/>
        </w:rPr>
      </w:pPr>
      <w:r w:rsidRPr="006374F8">
        <w:rPr>
          <w:sz w:val="20"/>
          <w:szCs w:val="20"/>
        </w:rPr>
        <w:t>Согласие или отказ Собственника от проведения работ или предоставления услуг может быть отправлен почтовым сообщением на адрес УК или зарегистрирован, непосредственно в Диспетчерской службе Многоквартирного дома.</w:t>
      </w:r>
    </w:p>
    <w:p w:rsidR="00D12693" w:rsidRPr="006374F8" w:rsidRDefault="00D12693" w:rsidP="00D12693">
      <w:pPr>
        <w:ind w:firstLine="573"/>
        <w:jc w:val="both"/>
        <w:outlineLvl w:val="0"/>
        <w:rPr>
          <w:sz w:val="20"/>
          <w:szCs w:val="20"/>
        </w:rPr>
      </w:pPr>
      <w:r w:rsidRPr="006374F8">
        <w:rPr>
          <w:sz w:val="20"/>
          <w:szCs w:val="20"/>
        </w:rPr>
        <w:t>9. Для отклонения Предложения УК о проведении дополнительных работ или оказании услуг, предусмотренных п. 5 Договора, в адрес УК должно поступить не менее 10 % голосов от общего количества собственников (правообладателей) Помещений в виде письменных уведомлений об отказе согласования проведения работ, оказания услуг.</w:t>
      </w:r>
    </w:p>
    <w:p w:rsidR="00D12693" w:rsidRPr="006374F8" w:rsidRDefault="00D12693" w:rsidP="00D12693">
      <w:pPr>
        <w:ind w:firstLine="573"/>
        <w:jc w:val="both"/>
        <w:outlineLvl w:val="0"/>
        <w:rPr>
          <w:sz w:val="20"/>
          <w:szCs w:val="20"/>
        </w:rPr>
      </w:pPr>
      <w:r w:rsidRPr="006374F8">
        <w:rPr>
          <w:sz w:val="20"/>
          <w:szCs w:val="20"/>
        </w:rPr>
        <w:t xml:space="preserve">10. Ежегодный отчёт о накоплении и расходовании средств резервного фонда доводится до сведения собственников помещений в МКД путём размещения на сайте УК  </w:t>
      </w:r>
      <w:hyperlink r:id="rId4" w:tooltip="http://cosmoservice.space/" w:history="1">
        <w:proofErr w:type="spellStart"/>
        <w:r w:rsidRPr="006374F8">
          <w:rPr>
            <w:rStyle w:val="a5"/>
            <w:sz w:val="20"/>
            <w:szCs w:val="20"/>
          </w:rPr>
          <w:t>cosmoservice.space</w:t>
        </w:r>
        <w:proofErr w:type="spellEnd"/>
      </w:hyperlink>
      <w:r w:rsidRPr="006374F8">
        <w:rPr>
          <w:sz w:val="20"/>
          <w:szCs w:val="20"/>
        </w:rPr>
        <w:t>.</w:t>
      </w:r>
    </w:p>
    <w:p w:rsidR="00D12693" w:rsidRDefault="00D12693"/>
    <w:sectPr w:rsidR="00D12693" w:rsidSect="00D126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F7"/>
    <w:rsid w:val="008D602D"/>
    <w:rsid w:val="00C13DF7"/>
    <w:rsid w:val="00D1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4571"/>
  <w15:chartTrackingRefBased/>
  <w15:docId w15:val="{FD1FB96F-AF64-4389-A02C-00BAFDF7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1269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1">
    <w:name w:val="heading 1"/>
    <w:basedOn w:val="a"/>
    <w:link w:val="10"/>
    <w:uiPriority w:val="1"/>
    <w:qFormat/>
    <w:rsid w:val="00D12693"/>
    <w:pPr>
      <w:spacing w:before="2"/>
      <w:ind w:left="436" w:right="43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12693"/>
    <w:rPr>
      <w:rFonts w:ascii="Tahoma" w:eastAsia="Tahoma" w:hAnsi="Tahoma" w:cs="Tahoma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D12693"/>
    <w:pPr>
      <w:ind w:left="47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12693"/>
    <w:rPr>
      <w:rFonts w:ascii="Tahoma" w:eastAsia="Tahoma" w:hAnsi="Tahoma" w:cs="Tahoma"/>
      <w:sz w:val="24"/>
      <w:szCs w:val="24"/>
    </w:rPr>
  </w:style>
  <w:style w:type="character" w:styleId="a5">
    <w:name w:val="Hyperlink"/>
    <w:rsid w:val="00D12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smoservice.spa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2023-03-31T12:49:00Z</dcterms:created>
  <dcterms:modified xsi:type="dcterms:W3CDTF">2023-03-31T12:50:00Z</dcterms:modified>
</cp:coreProperties>
</file>